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63ACD166"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w:t>
      </w:r>
      <w:r w:rsidR="00A14292">
        <w:rPr>
          <w:rFonts w:ascii="Times New Roman" w:hAnsi="Times New Roman" w:cs="Times New Roman"/>
        </w:rPr>
        <w:t xml:space="preserve">maize, piena produkti, </w:t>
      </w:r>
      <w:r w:rsidR="001D683B">
        <w:rPr>
          <w:rFonts w:ascii="Times New Roman" w:hAnsi="Times New Roman" w:cs="Times New Roman"/>
        </w:rPr>
        <w:t>piparkūkas, konditoreja</w:t>
      </w:r>
      <w:r w:rsidR="00894E94">
        <w:rPr>
          <w:rFonts w:ascii="Times New Roman" w:hAnsi="Times New Roman" w:cs="Times New Roman"/>
        </w:rPr>
        <w:t>,</w:t>
      </w:r>
      <w:r w:rsidR="00A14292">
        <w:rPr>
          <w:rFonts w:ascii="Times New Roman" w:hAnsi="Times New Roman" w:cs="Times New Roman"/>
        </w:rPr>
        <w:t xml:space="preserve"> gatavā kulinārija,</w:t>
      </w:r>
      <w:r w:rsidR="0099573A">
        <w:rPr>
          <w:rFonts w:ascii="Times New Roman" w:hAnsi="Times New Roman" w:cs="Times New Roman"/>
        </w:rPr>
        <w:t xml:space="preserve"> gaļas, zivju u.c. produkcija.</w:t>
      </w:r>
      <w:r w:rsidR="00894E94">
        <w:rPr>
          <w:rFonts w:ascii="Times New Roman" w:hAnsi="Times New Roman" w:cs="Times New Roman"/>
        </w:rPr>
        <w:t xml:space="preserve"> Mājražotāju produkcija.</w:t>
      </w:r>
      <w:r w:rsidR="0099573A">
        <w:rPr>
          <w:rFonts w:ascii="Times New Roman" w:hAnsi="Times New Roman" w:cs="Times New Roman"/>
        </w:rPr>
        <w:t xml:space="preserve">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 u.c.</w:t>
      </w:r>
      <w:r w:rsidR="00C53CB0" w:rsidRPr="005877CE">
        <w:rPr>
          <w:rFonts w:ascii="Times New Roman" w:hAnsi="Times New Roman" w:cs="Times New Roman"/>
        </w:rPr>
        <w:t xml:space="preserve"> Latvijā audzēti stādi</w:t>
      </w:r>
      <w:r w:rsidR="005B7B41">
        <w:rPr>
          <w:rFonts w:ascii="Times New Roman" w:hAnsi="Times New Roman" w:cs="Times New Roman"/>
        </w:rPr>
        <w:t xml:space="preserve">, </w:t>
      </w:r>
      <w:r w:rsidR="001D683B">
        <w:rPr>
          <w:rFonts w:ascii="Times New Roman" w:hAnsi="Times New Roman" w:cs="Times New Roman"/>
        </w:rPr>
        <w:t>piemēram, augļkoki, krūmi, puķes</w:t>
      </w:r>
      <w:r w:rsidR="005B7B41">
        <w:rPr>
          <w:rFonts w:ascii="Times New Roman" w:hAnsi="Times New Roman" w:cs="Times New Roman"/>
        </w:rPr>
        <w:t>, dekoratīvie augi, sēklas u.c.</w:t>
      </w:r>
      <w:r w:rsidR="000A7F31" w:rsidRPr="005877CE">
        <w:rPr>
          <w:rFonts w:ascii="Times New Roman" w:hAnsi="Times New Roman" w:cs="Times New Roman"/>
          <w:color w:val="292B2C"/>
          <w:shd w:val="clear" w:color="auto" w:fill="FFFFFF"/>
        </w:rPr>
        <w:t xml:space="preserve"> </w:t>
      </w:r>
    </w:p>
    <w:p w14:paraId="6C9F930D" w14:textId="495AD60D" w:rsidR="00833DE7" w:rsidRDefault="00C47583" w:rsidP="005877CE">
      <w:pPr>
        <w:spacing w:after="120"/>
        <w:jc w:val="both"/>
        <w:rPr>
          <w:rFonts w:ascii="Times New Roman" w:hAnsi="Times New Roman" w:cs="Times New Roman"/>
        </w:rPr>
      </w:pPr>
      <w:r w:rsidRPr="009B3BBB">
        <w:rPr>
          <w:rFonts w:ascii="Times New Roman" w:hAnsi="Times New Roman" w:cs="Times New Roman"/>
        </w:rPr>
        <w:t>Pasākuma laikā</w:t>
      </w:r>
      <w:r w:rsidR="00E04906" w:rsidRPr="009B3BBB">
        <w:rPr>
          <w:rFonts w:ascii="Times New Roman" w:hAnsi="Times New Roman" w:cs="Times New Roman"/>
        </w:rPr>
        <w:t xml:space="preserve"> plānotas līdz </w:t>
      </w:r>
      <w:r w:rsidR="00894E94" w:rsidRPr="009B3BBB">
        <w:rPr>
          <w:rFonts w:ascii="Times New Roman" w:hAnsi="Times New Roman" w:cs="Times New Roman"/>
        </w:rPr>
        <w:t>5</w:t>
      </w:r>
      <w:r w:rsidR="005B7B41" w:rsidRPr="009B3BBB">
        <w:rPr>
          <w:rFonts w:ascii="Times New Roman" w:hAnsi="Times New Roman" w:cs="Times New Roman"/>
        </w:rPr>
        <w:t xml:space="preserve">0 </w:t>
      </w:r>
      <w:r w:rsidR="00E04906" w:rsidRPr="009B3BBB">
        <w:rPr>
          <w:rFonts w:ascii="Times New Roman" w:hAnsi="Times New Roman" w:cs="Times New Roman"/>
        </w:rPr>
        <w:t>tirdzniecības vietām</w:t>
      </w:r>
      <w:r w:rsidR="00894E94" w:rsidRPr="009B3BBB">
        <w:rPr>
          <w:rFonts w:ascii="Times New Roman" w:hAnsi="Times New Roman" w:cs="Times New Roman"/>
        </w:rPr>
        <w:t xml:space="preserve"> un līdz 3-4</w:t>
      </w:r>
      <w:r w:rsidR="005B7B41" w:rsidRPr="009B3BBB">
        <w:rPr>
          <w:rFonts w:ascii="Times New Roman" w:hAnsi="Times New Roman" w:cs="Times New Roman"/>
        </w:rPr>
        <w:t xml:space="preserve"> </w:t>
      </w:r>
      <w:r w:rsidR="008C75AC" w:rsidRPr="009B3BBB">
        <w:rPr>
          <w:rFonts w:ascii="Times New Roman" w:hAnsi="Times New Roman" w:cs="Times New Roman"/>
        </w:rPr>
        <w:t xml:space="preserve">sabiedriskās </w:t>
      </w:r>
      <w:r w:rsidR="00E14568" w:rsidRPr="009B3BBB">
        <w:rPr>
          <w:rFonts w:ascii="Times New Roman" w:hAnsi="Times New Roman" w:cs="Times New Roman"/>
        </w:rPr>
        <w:t>ēdināšanas pakalpojumu sniedzēju vietām</w:t>
      </w:r>
      <w:r w:rsidR="00E04906" w:rsidRPr="009B3BBB">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60D33A68"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BB22C0">
        <w:rPr>
          <w:rFonts w:ascii="Times New Roman" w:hAnsi="Times New Roman" w:cs="Times New Roman"/>
        </w:rPr>
        <w:t>Mellužu estrādes parks</w:t>
      </w:r>
      <w:r w:rsidR="005877CE">
        <w:rPr>
          <w:rFonts w:ascii="Times New Roman" w:hAnsi="Times New Roman" w:cs="Times New Roman"/>
        </w:rPr>
        <w:t>.</w:t>
      </w:r>
      <w:r w:rsidRPr="005877CE">
        <w:rPr>
          <w:rFonts w:ascii="Times New Roman" w:hAnsi="Times New Roman" w:cs="Times New Roman"/>
        </w:rPr>
        <w:t xml:space="preserve"> </w:t>
      </w:r>
    </w:p>
    <w:p w14:paraId="775EAD19" w14:textId="7207DCCB"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 xml:space="preserve">2023. gada </w:t>
      </w:r>
      <w:r w:rsidR="0055318D">
        <w:rPr>
          <w:rFonts w:ascii="Times New Roman" w:hAnsi="Times New Roman" w:cs="Times New Roman"/>
        </w:rPr>
        <w:t>9</w:t>
      </w:r>
      <w:r w:rsidR="00FE1E5A">
        <w:rPr>
          <w:rFonts w:ascii="Times New Roman" w:hAnsi="Times New Roman" w:cs="Times New Roman"/>
        </w:rPr>
        <w:t xml:space="preserve">. </w:t>
      </w:r>
      <w:r w:rsidR="0055318D">
        <w:rPr>
          <w:rFonts w:ascii="Times New Roman" w:hAnsi="Times New Roman" w:cs="Times New Roman"/>
        </w:rPr>
        <w:t>septembris</w:t>
      </w:r>
      <w:r w:rsidR="007B2D5E">
        <w:rPr>
          <w:rFonts w:ascii="Times New Roman" w:hAnsi="Times New Roman" w:cs="Times New Roman"/>
        </w:rPr>
        <w:t>, n</w:t>
      </w:r>
      <w:r>
        <w:rPr>
          <w:rFonts w:ascii="Times New Roman" w:hAnsi="Times New Roman" w:cs="Times New Roman"/>
        </w:rPr>
        <w:t>o plkst. 12.00 – 1</w:t>
      </w:r>
      <w:r w:rsidR="0055318D">
        <w:rPr>
          <w:rFonts w:ascii="Times New Roman" w:hAnsi="Times New Roman" w:cs="Times New Roman"/>
        </w:rPr>
        <w:t>8</w:t>
      </w:r>
      <w:r>
        <w:rPr>
          <w:rFonts w:ascii="Times New Roman" w:hAnsi="Times New Roman" w:cs="Times New Roman"/>
        </w:rPr>
        <w:t>.00.</w:t>
      </w:r>
    </w:p>
    <w:p w14:paraId="32BC7E5A" w14:textId="7B197C2D"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 xml:space="preserve">2023. gada </w:t>
      </w:r>
      <w:r w:rsidR="0055318D">
        <w:rPr>
          <w:rFonts w:ascii="Times New Roman" w:hAnsi="Times New Roman" w:cs="Times New Roman"/>
        </w:rPr>
        <w:t>9</w:t>
      </w:r>
      <w:r w:rsidR="00FE1E5A">
        <w:rPr>
          <w:rFonts w:ascii="Times New Roman" w:hAnsi="Times New Roman" w:cs="Times New Roman"/>
        </w:rPr>
        <w:t xml:space="preserve">. </w:t>
      </w:r>
      <w:r w:rsidR="0055318D">
        <w:rPr>
          <w:rFonts w:ascii="Times New Roman" w:hAnsi="Times New Roman" w:cs="Times New Roman"/>
        </w:rPr>
        <w:t>septembris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w:t>
      </w:r>
      <w:r w:rsidR="0055318D">
        <w:rPr>
          <w:rFonts w:ascii="Times New Roman" w:hAnsi="Times New Roman" w:cs="Times New Roman"/>
        </w:rPr>
        <w:t>7</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894E94">
        <w:rPr>
          <w:rFonts w:ascii="Times New Roman" w:hAnsi="Times New Roman" w:cs="Times New Roman"/>
        </w:rPr>
        <w:t>11</w:t>
      </w:r>
      <w:r w:rsidR="007B2D5E">
        <w:rPr>
          <w:rFonts w:ascii="Times New Roman" w:hAnsi="Times New Roman" w:cs="Times New Roman"/>
        </w:rPr>
        <w:t>.00.</w:t>
      </w:r>
    </w:p>
    <w:p w14:paraId="4BE1C38B" w14:textId="12BD2C85"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7B2D5E">
        <w:rPr>
          <w:rFonts w:ascii="Times New Roman" w:hAnsi="Times New Roman" w:cs="Times New Roman"/>
        </w:rPr>
        <w:t xml:space="preserve">3. gada </w:t>
      </w:r>
      <w:r w:rsidR="0055318D">
        <w:rPr>
          <w:rFonts w:ascii="Times New Roman" w:hAnsi="Times New Roman" w:cs="Times New Roman"/>
        </w:rPr>
        <w:t>9</w:t>
      </w:r>
      <w:r w:rsidR="007B2D5E">
        <w:rPr>
          <w:rFonts w:ascii="Times New Roman" w:hAnsi="Times New Roman" w:cs="Times New Roman"/>
        </w:rPr>
        <w:t xml:space="preserve">. </w:t>
      </w:r>
      <w:r w:rsidR="0055318D">
        <w:rPr>
          <w:rFonts w:ascii="Times New Roman" w:hAnsi="Times New Roman" w:cs="Times New Roman"/>
        </w:rPr>
        <w:t>septembris</w:t>
      </w:r>
      <w:r w:rsidR="007B2D5E">
        <w:rPr>
          <w:rFonts w:ascii="Times New Roman" w:hAnsi="Times New Roman" w:cs="Times New Roman"/>
        </w:rPr>
        <w:t>, no plkst. 1</w:t>
      </w:r>
      <w:r w:rsidR="0055318D">
        <w:rPr>
          <w:rFonts w:ascii="Times New Roman" w:hAnsi="Times New Roman" w:cs="Times New Roman"/>
        </w:rPr>
        <w:t>8</w:t>
      </w:r>
      <w:r w:rsidR="00894E94">
        <w:rPr>
          <w:rFonts w:ascii="Times New Roman" w:hAnsi="Times New Roman" w:cs="Times New Roman"/>
        </w:rPr>
        <w:t>.10</w:t>
      </w:r>
      <w:r w:rsidR="007B2D5E">
        <w:rPr>
          <w:rFonts w:ascii="Times New Roman" w:hAnsi="Times New Roman" w:cs="Times New Roman"/>
        </w:rPr>
        <w:t>.</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lastRenderedPageBreak/>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7063DACC"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 xml:space="preserve">lāk kā līdz </w:t>
      </w:r>
      <w:r w:rsidR="003017AE">
        <w:rPr>
          <w:rFonts w:ascii="Times New Roman" w:hAnsi="Times New Roman" w:cs="Times New Roman"/>
        </w:rPr>
        <w:t>09</w:t>
      </w:r>
      <w:r w:rsidR="004F3DFA">
        <w:rPr>
          <w:rFonts w:ascii="Times New Roman" w:hAnsi="Times New Roman" w:cs="Times New Roman"/>
        </w:rPr>
        <w:t>.0</w:t>
      </w:r>
      <w:r w:rsidR="003017AE">
        <w:rPr>
          <w:rFonts w:ascii="Times New Roman" w:hAnsi="Times New Roman" w:cs="Times New Roman"/>
        </w:rPr>
        <w:t>9</w:t>
      </w:r>
      <w:r w:rsidR="004F3DFA">
        <w:rPr>
          <w:rFonts w:ascii="Times New Roman" w:hAnsi="Times New Roman" w:cs="Times New Roman"/>
        </w:rPr>
        <w:t>.2023</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725166E9"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A14292">
        <w:rPr>
          <w:rFonts w:ascii="Times New Roman" w:hAnsi="Times New Roman" w:cs="Times New Roman"/>
        </w:rPr>
        <w:t>30.08</w:t>
      </w:r>
      <w:r w:rsidR="00B85D61" w:rsidRPr="002166C0">
        <w:rPr>
          <w:rFonts w:ascii="Times New Roman" w:hAnsi="Times New Roman" w:cs="Times New Roman"/>
        </w:rPr>
        <w:t>.</w:t>
      </w:r>
      <w:r w:rsidR="004F3DFA">
        <w:rPr>
          <w:rFonts w:ascii="Times New Roman" w:hAnsi="Times New Roman" w:cs="Times New Roman"/>
        </w:rPr>
        <w:t>2023.</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009B3BBB" w:rsidRPr="009B3BBB">
        <w:rPr>
          <w:rFonts w:ascii="Times New Roman" w:hAnsi="Times New Roman" w:cs="Times New Roman"/>
        </w:rPr>
        <w:t>29487330</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E151BD">
      <w:pPr>
        <w:spacing w:after="0"/>
        <w:ind w:left="6481"/>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54EC27D2"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A14292">
        <w:rPr>
          <w:rFonts w:ascii="Times New Roman" w:hAnsi="Times New Roman" w:cs="Times New Roman"/>
        </w:rPr>
        <w:t>31.augustam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733549080">
    <w:abstractNumId w:val="9"/>
  </w:num>
  <w:num w:numId="2" w16cid:durableId="1303997158">
    <w:abstractNumId w:val="12"/>
  </w:num>
  <w:num w:numId="3" w16cid:durableId="1566061657">
    <w:abstractNumId w:val="10"/>
  </w:num>
  <w:num w:numId="4" w16cid:durableId="1863082343">
    <w:abstractNumId w:val="11"/>
  </w:num>
  <w:num w:numId="5" w16cid:durableId="1718117920">
    <w:abstractNumId w:val="1"/>
  </w:num>
  <w:num w:numId="6" w16cid:durableId="1793592487">
    <w:abstractNumId w:val="3"/>
  </w:num>
  <w:num w:numId="7" w16cid:durableId="40324795">
    <w:abstractNumId w:val="2"/>
  </w:num>
  <w:num w:numId="8" w16cid:durableId="1096704592">
    <w:abstractNumId w:val="6"/>
  </w:num>
  <w:num w:numId="9" w16cid:durableId="714306559">
    <w:abstractNumId w:val="7"/>
  </w:num>
  <w:num w:numId="10" w16cid:durableId="17971760">
    <w:abstractNumId w:val="4"/>
  </w:num>
  <w:num w:numId="11" w16cid:durableId="1625500742">
    <w:abstractNumId w:val="0"/>
  </w:num>
  <w:num w:numId="12" w16cid:durableId="1136067775">
    <w:abstractNumId w:val="5"/>
  </w:num>
  <w:num w:numId="13" w16cid:durableId="1018312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A05DD"/>
    <w:rsid w:val="000A7F31"/>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017AE"/>
    <w:rsid w:val="00310863"/>
    <w:rsid w:val="00322180"/>
    <w:rsid w:val="0032647B"/>
    <w:rsid w:val="00346464"/>
    <w:rsid w:val="003652C1"/>
    <w:rsid w:val="003653B4"/>
    <w:rsid w:val="00387DD4"/>
    <w:rsid w:val="003D013D"/>
    <w:rsid w:val="003E0E7A"/>
    <w:rsid w:val="00442E9F"/>
    <w:rsid w:val="00452E4F"/>
    <w:rsid w:val="00464E06"/>
    <w:rsid w:val="004D2963"/>
    <w:rsid w:val="004E30D2"/>
    <w:rsid w:val="004E5C4C"/>
    <w:rsid w:val="004F3DFA"/>
    <w:rsid w:val="00532DAE"/>
    <w:rsid w:val="00552E09"/>
    <w:rsid w:val="0055318D"/>
    <w:rsid w:val="005877CE"/>
    <w:rsid w:val="005A424D"/>
    <w:rsid w:val="005B4BA7"/>
    <w:rsid w:val="005B7B41"/>
    <w:rsid w:val="005B7BFC"/>
    <w:rsid w:val="005D013E"/>
    <w:rsid w:val="005F1910"/>
    <w:rsid w:val="006065D7"/>
    <w:rsid w:val="00614A79"/>
    <w:rsid w:val="00640BBB"/>
    <w:rsid w:val="00643088"/>
    <w:rsid w:val="00665338"/>
    <w:rsid w:val="00681B59"/>
    <w:rsid w:val="006A06BD"/>
    <w:rsid w:val="006A7DF0"/>
    <w:rsid w:val="006C23FA"/>
    <w:rsid w:val="006C62C7"/>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94E94"/>
    <w:rsid w:val="008B34A9"/>
    <w:rsid w:val="008C1C53"/>
    <w:rsid w:val="008C25D7"/>
    <w:rsid w:val="008C75AC"/>
    <w:rsid w:val="008D04D8"/>
    <w:rsid w:val="00926307"/>
    <w:rsid w:val="00931D9C"/>
    <w:rsid w:val="00951033"/>
    <w:rsid w:val="00957432"/>
    <w:rsid w:val="00961505"/>
    <w:rsid w:val="00967A28"/>
    <w:rsid w:val="00972A35"/>
    <w:rsid w:val="0099573A"/>
    <w:rsid w:val="009A5307"/>
    <w:rsid w:val="009A5D9A"/>
    <w:rsid w:val="009B3BBB"/>
    <w:rsid w:val="009E6A6C"/>
    <w:rsid w:val="00A14292"/>
    <w:rsid w:val="00A35C7B"/>
    <w:rsid w:val="00AB387E"/>
    <w:rsid w:val="00AC6800"/>
    <w:rsid w:val="00AF3413"/>
    <w:rsid w:val="00B03FB5"/>
    <w:rsid w:val="00B040B9"/>
    <w:rsid w:val="00B73FB4"/>
    <w:rsid w:val="00B75528"/>
    <w:rsid w:val="00B85D61"/>
    <w:rsid w:val="00B96451"/>
    <w:rsid w:val="00B9782E"/>
    <w:rsid w:val="00BA032E"/>
    <w:rsid w:val="00BB22C0"/>
    <w:rsid w:val="00BB550E"/>
    <w:rsid w:val="00BE1329"/>
    <w:rsid w:val="00BF6E56"/>
    <w:rsid w:val="00C411AB"/>
    <w:rsid w:val="00C47583"/>
    <w:rsid w:val="00C53CB0"/>
    <w:rsid w:val="00C60566"/>
    <w:rsid w:val="00C629DB"/>
    <w:rsid w:val="00CB7E08"/>
    <w:rsid w:val="00CC5598"/>
    <w:rsid w:val="00D17626"/>
    <w:rsid w:val="00D23544"/>
    <w:rsid w:val="00D24CD0"/>
    <w:rsid w:val="00D74868"/>
    <w:rsid w:val="00D917BE"/>
    <w:rsid w:val="00D9459A"/>
    <w:rsid w:val="00DE1B5D"/>
    <w:rsid w:val="00DE4666"/>
    <w:rsid w:val="00E04906"/>
    <w:rsid w:val="00E14568"/>
    <w:rsid w:val="00E151BD"/>
    <w:rsid w:val="00E15239"/>
    <w:rsid w:val="00E5109A"/>
    <w:rsid w:val="00E61914"/>
    <w:rsid w:val="00E7359C"/>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CF1B-DF4E-4D58-9EC7-3920598A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4485</Words>
  <Characters>2557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3</cp:revision>
  <cp:lastPrinted>2022-09-05T10:09:00Z</cp:lastPrinted>
  <dcterms:created xsi:type="dcterms:W3CDTF">2023-08-14T07:36:00Z</dcterms:created>
  <dcterms:modified xsi:type="dcterms:W3CDTF">2023-08-14T07:54:00Z</dcterms:modified>
</cp:coreProperties>
</file>